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BDD0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Arial"/>
          <w:bCs/>
          <w:color w:val="000000"/>
          <w:lang w:eastAsia="es-ES"/>
        </w:rPr>
      </w:pPr>
      <w:bookmarkStart w:id="0" w:name="_Toc170912246"/>
      <w:r w:rsidRPr="0002745C">
        <w:rPr>
          <w:rFonts w:ascii="Aptos Narrow" w:eastAsia="Calibri" w:hAnsi="Aptos Narrow" w:cs="Calibri"/>
          <w:b/>
          <w:bCs/>
          <w:color w:val="000000"/>
          <w:lang w:eastAsia="es-ES"/>
        </w:rPr>
        <w:t xml:space="preserve">ANEXO IV:  </w:t>
      </w:r>
      <w:bookmarkStart w:id="1" w:name="_Hlk169007649"/>
      <w:r w:rsidRPr="0002745C">
        <w:rPr>
          <w:rFonts w:ascii="Aptos Narrow" w:hAnsi="Aptos Narrow" w:cs="Calibri"/>
          <w:b/>
          <w:bCs/>
          <w:color w:val="000000"/>
          <w:kern w:val="0"/>
        </w:rPr>
        <w:t>DECLARACIONES EN RELACIÓN CON LA EJECUCIÓN DE ACTUACIONES DEL</w:t>
      </w:r>
      <w:r w:rsidRPr="0002745C">
        <w:rPr>
          <w:rFonts w:ascii="Aptos Narrow" w:eastAsia="Calibri" w:hAnsi="Aptos Narrow" w:cs="Calibri"/>
          <w:b/>
          <w:color w:val="000000"/>
          <w:lang w:eastAsia="es-ES"/>
        </w:rPr>
        <w:t xml:space="preserve"> PLAN DE RECUPERACIÓN, TRANSFORMACIÓN Y RESILIENCIA, FINANCIADO POR LA UNIÓN EUROPEA-NEXT GENERATION EU. </w:t>
      </w:r>
      <w:bookmarkEnd w:id="1"/>
      <w:r w:rsidRPr="0002745C">
        <w:rPr>
          <w:rFonts w:ascii="Aptos Narrow" w:eastAsia="Calibri" w:hAnsi="Aptos Narrow" w:cs="Calibri"/>
          <w:b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>(SOBRE A)</w:t>
      </w:r>
      <w:bookmarkEnd w:id="0"/>
    </w:p>
    <w:p w14:paraId="7B119CB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DB6159C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  <w:r w:rsidRPr="0002745C">
        <w:rPr>
          <w:rFonts w:ascii="Aptos Narrow" w:hAnsi="Aptos Narrow" w:cs="Arial"/>
          <w:b/>
          <w:bCs/>
          <w:kern w:val="0"/>
        </w:rPr>
        <w:t xml:space="preserve">PROCEDIMIENTO: 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7D67E8B2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1656EB9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F984A6F" w14:textId="2A15461A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D. </w:t>
      </w:r>
      <w:r w:rsidR="00C35737">
        <w:rPr>
          <w:rFonts w:ascii="Aptos Narrow" w:eastAsia="Calibri" w:hAnsi="Aptos Narrow" w:cs="Arial"/>
          <w:color w:val="000000"/>
          <w:lang w:eastAsia="es-ES"/>
        </w:rPr>
        <w:t>Gabriel Fernández Sanz,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con domicilio en</w:t>
      </w:r>
      <w:r w:rsidR="00C35737">
        <w:rPr>
          <w:rFonts w:ascii="Aptos Narrow" w:eastAsia="Calibri" w:hAnsi="Aptos Narrow" w:cs="Arial"/>
          <w:color w:val="000000"/>
          <w:lang w:eastAsia="es-ES"/>
        </w:rPr>
        <w:t xml:space="preserve"> Bilbao, </w:t>
      </w:r>
      <w:r w:rsidRPr="0002745C">
        <w:rPr>
          <w:rFonts w:ascii="Aptos Narrow" w:eastAsia="Calibri" w:hAnsi="Aptos Narrow" w:cs="Arial"/>
          <w:color w:val="000000"/>
          <w:lang w:eastAsia="es-ES"/>
        </w:rPr>
        <w:t>call</w:t>
      </w:r>
      <w:r w:rsidR="00C35737">
        <w:rPr>
          <w:rFonts w:ascii="Aptos Narrow" w:eastAsia="Calibri" w:hAnsi="Aptos Narrow" w:cs="Arial"/>
          <w:color w:val="000000"/>
          <w:lang w:eastAsia="es-ES"/>
        </w:rPr>
        <w:t>e</w:t>
      </w:r>
      <w:r w:rsidRPr="0002745C">
        <w:rPr>
          <w:rFonts w:ascii="Aptos Narrow" w:eastAsia="Calibri" w:hAnsi="Aptos Narrow" w:cs="Arial"/>
          <w:color w:val="000000"/>
          <w:lang w:eastAsia="es-ES"/>
        </w:rPr>
        <w:t>,</w:t>
      </w:r>
      <w:r w:rsidR="00C35737">
        <w:rPr>
          <w:rFonts w:ascii="Aptos Narrow" w:eastAsia="Calibri" w:hAnsi="Aptos Narrow" w:cs="Arial"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color w:val="000000"/>
          <w:lang w:eastAsia="es-ES"/>
        </w:rPr>
        <w:t>DNI n</w:t>
      </w:r>
      <w:r w:rsidR="00C35737">
        <w:rPr>
          <w:rFonts w:ascii="Aptos Narrow" w:eastAsia="Calibri" w:hAnsi="Aptos Narrow" w:cs="Arial"/>
          <w:color w:val="000000"/>
          <w:lang w:eastAsia="es-ES"/>
        </w:rPr>
        <w:t>.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º </w:t>
      </w:r>
      <w:r w:rsidR="00C35737">
        <w:rPr>
          <w:rFonts w:ascii="Aptos Narrow" w:eastAsia="Calibri" w:hAnsi="Aptos Narrow" w:cs="Arial"/>
          <w:color w:val="000000"/>
          <w:lang w:eastAsia="es-ES"/>
        </w:rPr>
        <w:t>16054073G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en plena posesión de su capacidad jurídica y de obrar, en representación de la entidad </w:t>
      </w:r>
      <w:r w:rsidR="00C35737">
        <w:rPr>
          <w:rFonts w:ascii="Aptos Narrow" w:eastAsia="Calibri" w:hAnsi="Aptos Narrow" w:cs="Arial"/>
          <w:color w:val="000000"/>
          <w:lang w:eastAsia="es-ES"/>
        </w:rPr>
        <w:t>BILBOMATICA, S.A.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con domicilio a efectos de notificaciones en </w:t>
      </w:r>
      <w:r w:rsidR="00C35737">
        <w:rPr>
          <w:rFonts w:ascii="Aptos Narrow" w:eastAsia="Calibri" w:hAnsi="Aptos Narrow" w:cs="Arial"/>
          <w:color w:val="000000"/>
          <w:lang w:eastAsia="es-ES"/>
        </w:rPr>
        <w:t>Bilbao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calle </w:t>
      </w:r>
      <w:r w:rsidR="00C35737">
        <w:rPr>
          <w:rFonts w:ascii="Aptos Narrow" w:eastAsia="Calibri" w:hAnsi="Aptos Narrow" w:cs="Arial"/>
          <w:color w:val="000000"/>
          <w:lang w:eastAsia="es-ES"/>
        </w:rPr>
        <w:t>Santiago de Compostela, 12 – 4º A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C.P. </w:t>
      </w:r>
      <w:r w:rsidR="00C35737">
        <w:rPr>
          <w:rFonts w:ascii="Aptos Narrow" w:eastAsia="Calibri" w:hAnsi="Aptos Narrow" w:cs="Arial"/>
          <w:color w:val="000000"/>
          <w:lang w:eastAsia="es-ES"/>
        </w:rPr>
        <w:t>48003</w:t>
      </w:r>
      <w:r w:rsidRPr="0002745C">
        <w:rPr>
          <w:rFonts w:ascii="Aptos Narrow" w:eastAsia="Calibri" w:hAnsi="Aptos Narrow" w:cs="Arial"/>
          <w:color w:val="000000"/>
          <w:lang w:eastAsia="es-ES"/>
        </w:rPr>
        <w:t>, teléfono n</w:t>
      </w:r>
      <w:r w:rsidR="00C35737">
        <w:rPr>
          <w:rFonts w:ascii="Aptos Narrow" w:eastAsia="Calibri" w:hAnsi="Aptos Narrow" w:cs="Arial"/>
          <w:color w:val="000000"/>
          <w:lang w:eastAsia="es-ES"/>
        </w:rPr>
        <w:t>.</w:t>
      </w:r>
      <w:r w:rsidRPr="0002745C">
        <w:rPr>
          <w:rFonts w:ascii="Aptos Narrow" w:eastAsia="Calibri" w:hAnsi="Aptos Narrow" w:cs="Arial"/>
          <w:color w:val="000000"/>
          <w:lang w:eastAsia="es-ES"/>
        </w:rPr>
        <w:t>º</w:t>
      </w:r>
      <w:r w:rsidR="00C35737">
        <w:rPr>
          <w:rFonts w:ascii="Aptos Narrow" w:eastAsia="Calibri" w:hAnsi="Aptos Narrow" w:cs="Arial"/>
          <w:color w:val="000000"/>
          <w:lang w:eastAsia="es-ES"/>
        </w:rPr>
        <w:t xml:space="preserve"> 944276308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dirección de correo electrónico </w:t>
      </w:r>
      <w:hyperlink r:id="rId7" w:history="1">
        <w:r w:rsidR="00C35737" w:rsidRPr="002D1132">
          <w:rPr>
            <w:rStyle w:val="Hipervnculo"/>
            <w:rFonts w:ascii="Aptos Narrow" w:eastAsia="Calibri" w:hAnsi="Aptos Narrow" w:cs="Arial"/>
            <w:lang w:eastAsia="es-ES"/>
          </w:rPr>
          <w:t>notificacionesbm@bilbomatica.es</w:t>
        </w:r>
      </w:hyperlink>
      <w:r w:rsidR="00C35737">
        <w:rPr>
          <w:rFonts w:ascii="Aptos Narrow" w:eastAsia="Calibri" w:hAnsi="Aptos Narrow" w:cs="Arial"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y NIF </w:t>
      </w:r>
      <w:r w:rsidR="00C35737">
        <w:rPr>
          <w:rFonts w:ascii="Aptos Narrow" w:eastAsia="Calibri" w:hAnsi="Aptos Narrow" w:cs="Arial"/>
          <w:color w:val="000000"/>
          <w:lang w:eastAsia="es-ES"/>
        </w:rPr>
        <w:t>A48270227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enterado del Pliego regulador de las Condiciones Particulares del Contrato y de las Prescripciones Técnicas que han de regir en la </w:t>
      </w:r>
      <w:r w:rsidRPr="0002745C">
        <w:rPr>
          <w:rFonts w:ascii="Aptos Narrow" w:hAnsi="Aptos Narrow" w:cs="Arial"/>
          <w:b/>
          <w:bCs/>
          <w:kern w:val="0"/>
        </w:rPr>
        <w:t xml:space="preserve">contratación del SERVICIO DE ASISTENCIA TÉCNICA “DIGITALIZACIÓN DE LOS RECURSOS PATRIMONIALES DE TIERRA ESTELLA MEDIEVAL”, EN EL MARCO DEL PLAN DE RECUPERACIÓN, TRANSFORMACIÓN Y RESILIENCIA, FINANCIADO POR LA UNIÓN EUROPEA-NEXT GENERATION EU </w:t>
      </w:r>
      <w:r w:rsidRPr="0002745C">
        <w:rPr>
          <w:rFonts w:ascii="Aptos Narrow" w:hAnsi="Aptos Narrow" w:cs="Arial"/>
          <w:color w:val="000000"/>
          <w:kern w:val="0"/>
        </w:rPr>
        <w:t xml:space="preserve">en la condición de contratista/subcontratista de un contrato financiado con recursos provenientes del PRTR, formula las siguientes DECLARACIONES: </w:t>
      </w:r>
    </w:p>
    <w:p w14:paraId="306C4A9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57704A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1ª. DECLARACIÓN DE AUSENCIA DE CONFLICTO DE INTERESES: </w:t>
      </w:r>
    </w:p>
    <w:p w14:paraId="01FB886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9AC1D8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Al objeto de garantizar la imparcialidad en el procedimiento arriba referenciado, la persona que suscribe declara: </w:t>
      </w:r>
    </w:p>
    <w:p w14:paraId="4AF481A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11FDA5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Primero</w:t>
      </w: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. </w:t>
      </w:r>
      <w:r w:rsidRPr="0002745C">
        <w:rPr>
          <w:rFonts w:ascii="Aptos Narrow" w:hAnsi="Aptos Narrow" w:cs="Arial"/>
          <w:color w:val="000000"/>
          <w:kern w:val="0"/>
        </w:rPr>
        <w:t xml:space="preserve">Estar informada de lo siguiente: </w:t>
      </w:r>
    </w:p>
    <w:p w14:paraId="5E06EA5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A588C5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1. Que el artículo 61.3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“Conflicto de intereses”, </w:t>
      </w:r>
      <w:r w:rsidRPr="0002745C">
        <w:rPr>
          <w:rFonts w:ascii="Aptos Narrow" w:hAnsi="Aptos Narrow" w:cs="Arial"/>
          <w:color w:val="000000"/>
          <w:kern w:val="0"/>
        </w:rPr>
        <w:t xml:space="preserve">del Reglamento (UE, </w:t>
      </w:r>
      <w:proofErr w:type="spellStart"/>
      <w:r w:rsidRPr="0002745C">
        <w:rPr>
          <w:rFonts w:ascii="Aptos Narrow" w:hAnsi="Aptos Narrow" w:cs="Arial"/>
          <w:color w:val="000000"/>
          <w:kern w:val="0"/>
        </w:rPr>
        <w:t>Euratom</w:t>
      </w:r>
      <w:proofErr w:type="spellEnd"/>
      <w:r w:rsidRPr="0002745C">
        <w:rPr>
          <w:rFonts w:ascii="Aptos Narrow" w:hAnsi="Aptos Narrow" w:cs="Arial"/>
          <w:color w:val="000000"/>
          <w:kern w:val="0"/>
        </w:rPr>
        <w:t>) 2018/1046 del Parlamento Europeo y del Consejo, de 18 de julio (Reglamento financiero de la UE) establece que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existirá conflicto de intereses cuando el ejercicio imparcial y objetivo de las funciones se vea comprometido por razones familiares, afectivas, de afinidad política o nacional, de interés económico o por cualquier motivo directo o indirecto de interés personal”. </w:t>
      </w:r>
    </w:p>
    <w:p w14:paraId="420D51D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40A0D6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2. Que el artículo 52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>Resolución de los conflictos de interés</w:t>
      </w:r>
      <w:r w:rsidRPr="0002745C">
        <w:rPr>
          <w:rFonts w:ascii="Aptos Narrow" w:hAnsi="Aptos Narrow" w:cs="Arial"/>
          <w:color w:val="000000"/>
          <w:kern w:val="0"/>
        </w:rPr>
        <w:t xml:space="preserve">” de la Ley Foral 2/2018, de 13 de abril, de Contratos del Sector Público tiene el fin de evitar cualquier distorsión de la competencia y garantizar la transparencia en el procedimiento y asegurar la igualdad de trato a todos los candidatos y licitadores. </w:t>
      </w:r>
    </w:p>
    <w:p w14:paraId="60B045B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570350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3. Que el artículo 23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“Abstención”, </w:t>
      </w:r>
      <w:r w:rsidRPr="0002745C">
        <w:rPr>
          <w:rFonts w:ascii="Aptos Narrow" w:hAnsi="Aptos Narrow" w:cs="Arial"/>
          <w:color w:val="000000"/>
          <w:kern w:val="0"/>
        </w:rPr>
        <w:t>de la Ley 40/2015, de 1 octubre, de Régimen Jurídico del Sector Público, establece que deberán abstenerse de intervenir en el procedimiento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las autoridades y el personal al servicio de las Administraciones en quienes se den algunas de las circunstancias señaladas en el apartado siguiente”, </w:t>
      </w:r>
      <w:r w:rsidRPr="0002745C">
        <w:rPr>
          <w:rFonts w:ascii="Aptos Narrow" w:hAnsi="Aptos Narrow" w:cs="Arial"/>
          <w:color w:val="000000"/>
          <w:kern w:val="0"/>
        </w:rPr>
        <w:t xml:space="preserve">siendo éstas: </w:t>
      </w:r>
    </w:p>
    <w:p w14:paraId="1CAF57C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0DC798B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14:paraId="3D3B083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1CB5F3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0B4B5C1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6518384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c) Tener amistad íntima o enemistad manifiesta con alguna de las personas mencionadas en el apartado anterior. </w:t>
      </w:r>
    </w:p>
    <w:p w14:paraId="6D34649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0E0402C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d) Haber intervenido como perito o como testigo en el procedimiento de que se trate. </w:t>
      </w:r>
    </w:p>
    <w:p w14:paraId="4AEB1A9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38687A6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e)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14:paraId="1B2BE5C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7E1AFDD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14:paraId="6C8A5A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12BF08D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14:paraId="45C3E5D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0754737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14:paraId="4DDE95B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F216BA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2ª. DECLARACIÓN DE CESIÓN Y TRATAMIENTO DE DATOS: </w:t>
      </w:r>
    </w:p>
    <w:p w14:paraId="702B18D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065CF9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declara conocer la normativa que es de aplicación, en particular, los siguientes apartados del artículo 22 del Reglamento (UE) 2021/241 del Parlamento Europeo y del Consejo, de 12 de febrero de 2021, por el que se establece el Mecanismo de Recuperación y Resiliencia (MRR): </w:t>
      </w:r>
    </w:p>
    <w:p w14:paraId="1CD9D70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C1C0FF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1. La letra d) del apartado 2: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14:paraId="0B9CAB4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1463A015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i/>
          <w:iCs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>El nombre del perceptor final de los fondos;</w:t>
      </w:r>
    </w:p>
    <w:p w14:paraId="4D00FE93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3A33290A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Los nombres, apellidos y fechas de nacimiento de los titulares reales del perceptor de los fondos o del contratista, según se define en el artículo 3, punto 6, de la Directiva (UE) 2015/849 del Parlamento Europeo y del Consejo (26); </w:t>
      </w:r>
    </w:p>
    <w:p w14:paraId="57BA4417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Una lista de medidas para la ejecución de reformas y proyectos de inversión en el marco del plan de recuperación y resiliencia, junto con el importe total de la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lastRenderedPageBreak/>
        <w:t>financiación pública de dichas medidas y que indique la cuantía de los fondos desembolsados en el marco del Mecanismo y de otros fondos de la Unión</w:t>
      </w:r>
      <w:r w:rsidRPr="0002745C">
        <w:rPr>
          <w:rFonts w:ascii="Aptos Narrow" w:hAnsi="Aptos Narrow" w:cs="Arial"/>
          <w:color w:val="000000"/>
          <w:kern w:val="0"/>
        </w:rPr>
        <w:t>».</w:t>
      </w:r>
    </w:p>
    <w:p w14:paraId="1FD30FE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 </w:t>
      </w:r>
    </w:p>
    <w:p w14:paraId="7F16F4A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2. Apartado 3: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</w:t>
      </w:r>
      <w:r w:rsidRPr="0002745C">
        <w:rPr>
          <w:rFonts w:ascii="Aptos Narrow" w:hAnsi="Aptos Narrow" w:cs="Arial"/>
          <w:color w:val="000000"/>
          <w:kern w:val="0"/>
        </w:rPr>
        <w:t xml:space="preserve">». </w:t>
      </w:r>
    </w:p>
    <w:p w14:paraId="2EB57B2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0343173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Conforme al marco jurídico expuesto, manifiesta acceder a la cesión y tratamiento de los datos con los fines expresamente relacionados en los artículos citados.</w:t>
      </w:r>
    </w:p>
    <w:p w14:paraId="3FDF20E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6DFD278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3ª. DECLARACIÓN DE COMPROMISO DE CUMPLIMIENTO DE PRINCIPIOS TRANSVERSALES: </w:t>
      </w:r>
    </w:p>
    <w:p w14:paraId="23E2B4C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B3DC91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14:paraId="1C58B4A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216313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do no </w:t>
      </w:r>
      <w:proofErr w:type="spellStart"/>
      <w:r w:rsidRPr="0002745C">
        <w:rPr>
          <w:rFonts w:ascii="Aptos Narrow" w:hAnsi="Aptos Narrow" w:cs="Arial"/>
          <w:i/>
          <w:iCs/>
          <w:color w:val="000000"/>
          <w:kern w:val="0"/>
        </w:rPr>
        <w:t>significant</w:t>
      </w:r>
      <w:proofErr w:type="spellEnd"/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proofErr w:type="spellStart"/>
      <w:r w:rsidRPr="0002745C">
        <w:rPr>
          <w:rFonts w:ascii="Aptos Narrow" w:hAnsi="Aptos Narrow" w:cs="Arial"/>
          <w:i/>
          <w:iCs/>
          <w:color w:val="000000"/>
          <w:kern w:val="0"/>
        </w:rPr>
        <w:t>harm</w:t>
      </w:r>
      <w:proofErr w:type="spellEnd"/>
      <w:r w:rsidRPr="0002745C">
        <w:rPr>
          <w:rFonts w:ascii="Aptos Narrow" w:hAnsi="Aptos Narrow" w:cs="Arial"/>
          <w:color w:val="000000"/>
          <w:kern w:val="0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786B1C0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01F9EA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4ª. DECLARACIÓN SOBRE EL CUMPLIMIENTO DEL PRINCIPIO DE NO PERJUICIO SIGNIFICATIVO A LOS SEIS OBJETIVOS MEDIOAMBIENTALES (DNSH) </w:t>
      </w:r>
    </w:p>
    <w:p w14:paraId="1816194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22D3890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 </w:t>
      </w:r>
    </w:p>
    <w:p w14:paraId="283C0CF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2CAF1A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1. NO CAUSA UN PERJUICIO SIGNIFICATIVO A LOS SEIS OBJETIVOS MEDIOAMBIENTALES del artículo 17 del Reglamento (UE) 2020/852, que se enumeran a continuación: </w:t>
      </w:r>
    </w:p>
    <w:p w14:paraId="5EA609F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22D8D7DE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Mitigación del cambio climático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mitigación del cambio climático si da lugar a considerables emisiones de gases de efecto invernadero (GEI). </w:t>
      </w:r>
    </w:p>
    <w:p w14:paraId="73DE2DA5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Adaptación al cambio climático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>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2D8A1684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Uso sostenible y protección de los recursos hídricos y marinos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utilización y protección sostenibles de los </w:t>
      </w:r>
      <w:r w:rsidRPr="0002745C">
        <w:rPr>
          <w:rFonts w:ascii="Aptos Narrow" w:hAnsi="Aptos Narrow" w:cs="Arial"/>
          <w:color w:val="000000"/>
          <w:kern w:val="0"/>
        </w:rPr>
        <w:lastRenderedPageBreak/>
        <w:t xml:space="preserve">recursos hídricos y marinos si va en detrimento del buen estado o del buen potencial ecológico de las masas de agua, incluidas las superficiales y subterráneas, y del buen estado ecológico de las aguas marinas. </w:t>
      </w:r>
    </w:p>
    <w:p w14:paraId="258E9E4C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Economía circular, incluidos la prevención y el reciclado de residuos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- </w:t>
      </w:r>
      <w:r w:rsidRPr="0002745C">
        <w:rPr>
          <w:rFonts w:ascii="Aptos Narrow" w:hAnsi="Aptos Narrow" w:cs="Arial"/>
          <w:color w:val="000000"/>
          <w:kern w:val="0"/>
        </w:rPr>
        <w:t xml:space="preserve"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6B5B8301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Prevención y control de la contaminación a la atmósfera, el agua o el suelo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prevención y el control de la contaminación cuando da lugar a un aumento significativo de las emisiones de contaminantes a la atmósfera, el agua o el suelo. </w:t>
      </w:r>
    </w:p>
    <w:p w14:paraId="30BD9C73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Protección y restauración de la biodiversidad y los ecosistemas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 </w:t>
      </w:r>
    </w:p>
    <w:p w14:paraId="7527AE9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>2. LA ENTIDAD SOLICITANTE NO DESARROLLA ACTIVIDADES EXCLUIDAS</w:t>
      </w:r>
      <w:r w:rsidRPr="0002745C">
        <w:rPr>
          <w:rFonts w:ascii="Aptos Narrow" w:hAnsi="Aptos Narrow" w:cs="Arial"/>
          <w:color w:val="000000"/>
          <w:kern w:val="0"/>
        </w:rPr>
        <w:t xml:space="preserve"> según lo indicado por la Guía técnica sobre la aplicación del principio de «no causar un perjuicio significativo» en virtud del Reglamento relativo al Mecanismo de Recuperación y Resiliencia. </w:t>
      </w:r>
    </w:p>
    <w:p w14:paraId="0E617C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D0227B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Las actividades excluidas son: </w:t>
      </w:r>
    </w:p>
    <w:p w14:paraId="66B9E02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03DA42F8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Refinerías de petróleo </w:t>
      </w:r>
    </w:p>
    <w:p w14:paraId="6747DA0A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Centrales térmicas de carbón y extracción de combustibles fósiles </w:t>
      </w:r>
    </w:p>
    <w:p w14:paraId="4A84A971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Generación de electricidad y/o calor utilizando combustibles fósiles y relacionados con su infraestructura de transporte y distribución </w:t>
      </w:r>
    </w:p>
    <w:p w14:paraId="5E653EE6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Eliminación de desechos (por ejemplo, nucleares, que puedan causar daños a largo plazo al medioambiente) </w:t>
      </w:r>
    </w:p>
    <w:p w14:paraId="6D2AD824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Inversiones en instalaciones para la deposición de residuos en vertedero o inversiones </w:t>
      </w:r>
    </w:p>
    <w:p w14:paraId="1FB2CE13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13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en plantas de tratamiento biológico mecánico (MBT) que impliquen un aumento de su capacidad o de su vida útil (salvo plantas de tratamiento de residuos peligrosos no reciclables) </w:t>
      </w:r>
    </w:p>
    <w:p w14:paraId="29985F15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actividades cubiertas por el régimen de comercio de derechos de emisión de la UE (según el Anexo I de la Ley 1/2005 de 9 de marzo, por la que se regula el régimen del comercio de derechos de emisión de gases de efecto invernadero. </w:t>
      </w:r>
    </w:p>
    <w:p w14:paraId="55847A9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566034D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>3. LA ENTIDAD SOLICITANTE NO PREVÉ EFECTOS DIRECTOS DEL PROYECTO O ACTIVIDAD SOBRE EL MEDIO AMBIENTE, NI EFECTOS INDIRECTOS PRIMARIOS</w:t>
      </w:r>
      <w:r w:rsidRPr="0002745C">
        <w:rPr>
          <w:rFonts w:ascii="Aptos Narrow" w:hAnsi="Aptos Narrow" w:cs="Arial"/>
          <w:color w:val="000000"/>
          <w:kern w:val="0"/>
        </w:rPr>
        <w:t xml:space="preserve">, entendiendo como tales aquéllos que pudieran materializarse tras su finalización, una vez realizado el proyecto o actividad. </w:t>
      </w:r>
    </w:p>
    <w:p w14:paraId="43D8269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564CA2A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El incumplimiento de alguno de los requisitos establecido en la presente declaración dará, previo el oportuno procedimiento de reintegro, a la obligación de devolver las ayudas percibidas y los intereses de demora correspondientes. </w:t>
      </w:r>
    </w:p>
    <w:p w14:paraId="5508C4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C776C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5ª. DECLARACIÓN SOBRE LUCHA CONTRA EL FRAUDE (OLAF) </w:t>
      </w:r>
    </w:p>
    <w:p w14:paraId="1C9A75C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6CA3FC5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 </w:t>
      </w:r>
    </w:p>
    <w:p w14:paraId="6A13D11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54A6B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Asimismo, concede de manera expresa la autorización prevista en el artículo 22.2.e), del Reglamento (UE) 2021/241, del Parlamento Europeo y del Consejo, de 12 de febrero de 2021).</w:t>
      </w:r>
    </w:p>
    <w:p w14:paraId="6647F6EC" w14:textId="77777777" w:rsidR="00C35737" w:rsidRDefault="00C35737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1F7B7CB8" w14:textId="1424AC9E" w:rsidR="00C35737" w:rsidRDefault="00C35737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  <w:r>
        <w:rPr>
          <w:rFonts w:ascii="Aptos Narrow" w:hAnsi="Aptos Narrow" w:cs="Arial"/>
          <w:lang w:val="es-ES_tradnl"/>
        </w:rPr>
        <w:t>En Bilbao, a 15 de mayo de2025</w:t>
      </w:r>
    </w:p>
    <w:p w14:paraId="16FEBCF2" w14:textId="77777777" w:rsidR="00C35737" w:rsidRDefault="00C35737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2312685D" w14:textId="77777777" w:rsidR="00C35737" w:rsidRDefault="00C35737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24AF8749" w14:textId="77777777" w:rsidR="00C35737" w:rsidRDefault="00C35737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3645502A" w14:textId="006CA90B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  <w:r w:rsidRPr="0002745C">
        <w:rPr>
          <w:rFonts w:ascii="Aptos Narrow" w:hAnsi="Aptos Narrow" w:cs="Arial"/>
          <w:lang w:val="es-ES_tradnl"/>
        </w:rPr>
        <w:t>Firmado:</w:t>
      </w:r>
      <w:r w:rsidR="00C35737">
        <w:rPr>
          <w:rFonts w:ascii="Aptos Narrow" w:hAnsi="Aptos Narrow" w:cs="Arial"/>
          <w:lang w:val="es-ES_tradnl"/>
        </w:rPr>
        <w:t xml:space="preserve"> Gabriel Fernández Sanz</w:t>
      </w:r>
    </w:p>
    <w:p w14:paraId="1C21267D" w14:textId="7B3E9630" w:rsidR="0002745C" w:rsidRPr="00C35737" w:rsidRDefault="00C35737" w:rsidP="0002745C">
      <w:pPr>
        <w:spacing w:line="240" w:lineRule="auto"/>
        <w:jc w:val="both"/>
        <w:rPr>
          <w:rFonts w:ascii="Aptos Narrow" w:hAnsi="Aptos Narrow" w:cs="Arial"/>
          <w:i/>
          <w:iCs/>
          <w:lang w:val="es-ES_tradnl"/>
        </w:rPr>
      </w:pPr>
      <w:r w:rsidRPr="00C35737">
        <w:rPr>
          <w:rFonts w:ascii="Aptos Narrow" w:hAnsi="Aptos Narrow" w:cs="Arial"/>
          <w:i/>
          <w:iCs/>
          <w:lang w:val="es-ES_tradnl"/>
        </w:rPr>
        <w:t xml:space="preserve">Director General / Apoderado </w:t>
      </w:r>
      <w:proofErr w:type="spellStart"/>
      <w:r w:rsidRPr="00C35737">
        <w:rPr>
          <w:rFonts w:ascii="Aptos Narrow" w:hAnsi="Aptos Narrow" w:cs="Arial"/>
          <w:i/>
          <w:iCs/>
          <w:lang w:val="es-ES_tradnl"/>
        </w:rPr>
        <w:t>Bilbomatica</w:t>
      </w:r>
      <w:proofErr w:type="spellEnd"/>
      <w:r w:rsidRPr="00C35737">
        <w:rPr>
          <w:rFonts w:ascii="Aptos Narrow" w:hAnsi="Aptos Narrow" w:cs="Arial"/>
          <w:i/>
          <w:iCs/>
          <w:lang w:val="es-ES_tradnl"/>
        </w:rPr>
        <w:t>, S.A.</w:t>
      </w:r>
    </w:p>
    <w:sectPr w:rsidR="0002745C" w:rsidRPr="00C35737" w:rsidSect="00297AE3">
      <w:headerReference w:type="default" r:id="rId8"/>
      <w:pgSz w:w="11910" w:h="16840"/>
      <w:pgMar w:top="1417" w:right="1701" w:bottom="1417" w:left="1701" w:header="91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B1F" w14:textId="77777777" w:rsidR="00297AE3" w:rsidRDefault="00297AE3" w:rsidP="00297AE3">
      <w:pPr>
        <w:spacing w:after="0" w:line="240" w:lineRule="auto"/>
      </w:pPr>
      <w:r>
        <w:separator/>
      </w:r>
    </w:p>
  </w:endnote>
  <w:endnote w:type="continuationSeparator" w:id="0">
    <w:p w14:paraId="63024197" w14:textId="77777777" w:rsidR="00297AE3" w:rsidRDefault="00297AE3" w:rsidP="0029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6DB" w14:textId="77777777" w:rsidR="00297AE3" w:rsidRDefault="00297AE3" w:rsidP="00297AE3">
      <w:pPr>
        <w:spacing w:after="0" w:line="240" w:lineRule="auto"/>
      </w:pPr>
      <w:r>
        <w:separator/>
      </w:r>
    </w:p>
  </w:footnote>
  <w:footnote w:type="continuationSeparator" w:id="0">
    <w:p w14:paraId="6144DD8F" w14:textId="77777777" w:rsidR="00297AE3" w:rsidRDefault="00297AE3" w:rsidP="0029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A9" w14:textId="34C7F5D9" w:rsidR="00297AE3" w:rsidRDefault="00297A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FE6EF" wp14:editId="762F6510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6249035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19AEA" w14:textId="68134DDE" w:rsidR="00297AE3" w:rsidRDefault="00297AE3">
    <w:pPr>
      <w:pStyle w:val="Encabezado"/>
    </w:pPr>
  </w:p>
  <w:p w14:paraId="72502910" w14:textId="47A8E0E1" w:rsidR="00297AE3" w:rsidRDefault="0029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4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41" w:hanging="360"/>
      </w:pPr>
      <w:rPr>
        <w:rFonts w:ascii="Californian FB" w:hAnsi="Californian FB" w:cs="Californian FB"/>
        <w:b w:val="0"/>
        <w:bCs w:val="0"/>
        <w:color w:val="0E0E0E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41" w:hanging="281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281"/>
      </w:pPr>
    </w:lvl>
    <w:lvl w:ilvl="2">
      <w:numFmt w:val="bullet"/>
      <w:lvlText w:val="•"/>
      <w:lvlJc w:val="left"/>
      <w:pPr>
        <w:ind w:left="2705" w:hanging="281"/>
      </w:pPr>
    </w:lvl>
    <w:lvl w:ilvl="3">
      <w:numFmt w:val="bullet"/>
      <w:lvlText w:val="•"/>
      <w:lvlJc w:val="left"/>
      <w:pPr>
        <w:ind w:left="3537" w:hanging="281"/>
      </w:pPr>
    </w:lvl>
    <w:lvl w:ilvl="4">
      <w:numFmt w:val="bullet"/>
      <w:lvlText w:val="•"/>
      <w:lvlJc w:val="left"/>
      <w:pPr>
        <w:ind w:left="4370" w:hanging="281"/>
      </w:pPr>
    </w:lvl>
    <w:lvl w:ilvl="5">
      <w:numFmt w:val="bullet"/>
      <w:lvlText w:val="•"/>
      <w:lvlJc w:val="left"/>
      <w:pPr>
        <w:ind w:left="5203" w:hanging="281"/>
      </w:pPr>
    </w:lvl>
    <w:lvl w:ilvl="6">
      <w:numFmt w:val="bullet"/>
      <w:lvlText w:val="•"/>
      <w:lvlJc w:val="left"/>
      <w:pPr>
        <w:ind w:left="6035" w:hanging="281"/>
      </w:pPr>
    </w:lvl>
    <w:lvl w:ilvl="7">
      <w:numFmt w:val="bullet"/>
      <w:lvlText w:val="•"/>
      <w:lvlJc w:val="left"/>
      <w:pPr>
        <w:ind w:left="6868" w:hanging="281"/>
      </w:pPr>
    </w:lvl>
    <w:lvl w:ilvl="8">
      <w:numFmt w:val="bullet"/>
      <w:lvlText w:val="•"/>
      <w:lvlJc w:val="left"/>
      <w:pPr>
        <w:ind w:left="7701" w:hanging="281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034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81" w:hanging="360"/>
      </w:pPr>
      <w:rPr>
        <w:rFonts w:ascii="Calibri" w:hAnsi="Calibri" w:cs="Calibri"/>
        <w:b/>
        <w:bCs/>
        <w:w w:val="98"/>
        <w:sz w:val="22"/>
        <w:szCs w:val="22"/>
      </w:rPr>
    </w:lvl>
    <w:lvl w:ilvl="1">
      <w:numFmt w:val="bullet"/>
      <w:lvlText w:val="•"/>
      <w:lvlJc w:val="left"/>
      <w:pPr>
        <w:ind w:left="154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463" w:hanging="10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41" w:hanging="108"/>
      </w:pPr>
    </w:lvl>
    <w:lvl w:ilvl="3">
      <w:numFmt w:val="bullet"/>
      <w:lvlText w:val="•"/>
      <w:lvlJc w:val="left"/>
      <w:pPr>
        <w:ind w:left="3131" w:hanging="108"/>
      </w:pPr>
    </w:lvl>
    <w:lvl w:ilvl="4">
      <w:numFmt w:val="bullet"/>
      <w:lvlText w:val="•"/>
      <w:lvlJc w:val="left"/>
      <w:pPr>
        <w:ind w:left="4022" w:hanging="108"/>
      </w:pPr>
    </w:lvl>
    <w:lvl w:ilvl="5">
      <w:numFmt w:val="bullet"/>
      <w:lvlText w:val="•"/>
      <w:lvlJc w:val="left"/>
      <w:pPr>
        <w:ind w:left="4913" w:hanging="108"/>
      </w:pPr>
    </w:lvl>
    <w:lvl w:ilvl="6">
      <w:numFmt w:val="bullet"/>
      <w:lvlText w:val="•"/>
      <w:lvlJc w:val="left"/>
      <w:pPr>
        <w:ind w:left="5803" w:hanging="108"/>
      </w:pPr>
    </w:lvl>
    <w:lvl w:ilvl="7">
      <w:numFmt w:val="bullet"/>
      <w:lvlText w:val="•"/>
      <w:lvlJc w:val="left"/>
      <w:pPr>
        <w:ind w:left="6694" w:hanging="108"/>
      </w:pPr>
    </w:lvl>
    <w:lvl w:ilvl="8">
      <w:numFmt w:val="bullet"/>
      <w:lvlText w:val="•"/>
      <w:lvlJc w:val="left"/>
      <w:pPr>
        <w:ind w:left="7585" w:hanging="108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04" w:hanging="212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-"/>
      <w:lvlJc w:val="left"/>
      <w:pPr>
        <w:ind w:left="1029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947" w:hanging="360"/>
      </w:pPr>
    </w:lvl>
    <w:lvl w:ilvl="3">
      <w:numFmt w:val="bullet"/>
      <w:lvlText w:val="•"/>
      <w:lvlJc w:val="left"/>
      <w:pPr>
        <w:ind w:left="2874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29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21" w:hanging="12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4" w:hanging="126"/>
      </w:pPr>
    </w:lvl>
    <w:lvl w:ilvl="2">
      <w:numFmt w:val="bullet"/>
      <w:lvlText w:val="•"/>
      <w:lvlJc w:val="left"/>
      <w:pPr>
        <w:ind w:left="2129" w:hanging="126"/>
      </w:pPr>
    </w:lvl>
    <w:lvl w:ilvl="3">
      <w:numFmt w:val="bullet"/>
      <w:lvlText w:val="•"/>
      <w:lvlJc w:val="left"/>
      <w:pPr>
        <w:ind w:left="3033" w:hanging="126"/>
      </w:pPr>
    </w:lvl>
    <w:lvl w:ilvl="4">
      <w:numFmt w:val="bullet"/>
      <w:lvlText w:val="•"/>
      <w:lvlJc w:val="left"/>
      <w:pPr>
        <w:ind w:left="3938" w:hanging="126"/>
      </w:pPr>
    </w:lvl>
    <w:lvl w:ilvl="5">
      <w:numFmt w:val="bullet"/>
      <w:lvlText w:val="•"/>
      <w:lvlJc w:val="left"/>
      <w:pPr>
        <w:ind w:left="4843" w:hanging="126"/>
      </w:pPr>
    </w:lvl>
    <w:lvl w:ilvl="6">
      <w:numFmt w:val="bullet"/>
      <w:lvlText w:val="•"/>
      <w:lvlJc w:val="left"/>
      <w:pPr>
        <w:ind w:left="5747" w:hanging="126"/>
      </w:pPr>
    </w:lvl>
    <w:lvl w:ilvl="7">
      <w:numFmt w:val="bullet"/>
      <w:lvlText w:val="•"/>
      <w:lvlJc w:val="left"/>
      <w:pPr>
        <w:ind w:left="6652" w:hanging="126"/>
      </w:pPr>
    </w:lvl>
    <w:lvl w:ilvl="8">
      <w:numFmt w:val="bullet"/>
      <w:lvlText w:val="•"/>
      <w:lvlJc w:val="left"/>
      <w:pPr>
        <w:ind w:left="7557" w:hanging="126"/>
      </w:pPr>
    </w:lvl>
  </w:abstractNum>
  <w:abstractNum w:abstractNumId="9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E4F65E1"/>
    <w:multiLevelType w:val="hybridMultilevel"/>
    <w:tmpl w:val="AF0616BC"/>
    <w:lvl w:ilvl="0" w:tplc="4EB278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737B"/>
    <w:multiLevelType w:val="hybridMultilevel"/>
    <w:tmpl w:val="95EE544E"/>
    <w:lvl w:ilvl="0" w:tplc="3BA20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09293">
    <w:abstractNumId w:val="8"/>
  </w:num>
  <w:num w:numId="2" w16cid:durableId="1875459571">
    <w:abstractNumId w:val="7"/>
  </w:num>
  <w:num w:numId="3" w16cid:durableId="612785522">
    <w:abstractNumId w:val="6"/>
  </w:num>
  <w:num w:numId="4" w16cid:durableId="1257252299">
    <w:abstractNumId w:val="5"/>
  </w:num>
  <w:num w:numId="5" w16cid:durableId="967667391">
    <w:abstractNumId w:val="4"/>
  </w:num>
  <w:num w:numId="6" w16cid:durableId="1169953093">
    <w:abstractNumId w:val="3"/>
  </w:num>
  <w:num w:numId="7" w16cid:durableId="1209680674">
    <w:abstractNumId w:val="2"/>
  </w:num>
  <w:num w:numId="8" w16cid:durableId="1948345682">
    <w:abstractNumId w:val="1"/>
  </w:num>
  <w:num w:numId="9" w16cid:durableId="1575551721">
    <w:abstractNumId w:val="9"/>
  </w:num>
  <w:num w:numId="10" w16cid:durableId="1838491942">
    <w:abstractNumId w:val="10"/>
  </w:num>
  <w:num w:numId="11" w16cid:durableId="1262640880">
    <w:abstractNumId w:val="11"/>
  </w:num>
  <w:num w:numId="12" w16cid:durableId="1900045682">
    <w:abstractNumId w:val="0"/>
  </w:num>
  <w:num w:numId="13" w16cid:durableId="1318609711">
    <w:abstractNumId w:val="13"/>
  </w:num>
  <w:num w:numId="14" w16cid:durableId="928847500">
    <w:abstractNumId w:val="14"/>
  </w:num>
  <w:num w:numId="15" w16cid:durableId="874731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3"/>
    <w:rsid w:val="0002745C"/>
    <w:rsid w:val="00043EA4"/>
    <w:rsid w:val="00297AE3"/>
    <w:rsid w:val="003B46ED"/>
    <w:rsid w:val="004515F1"/>
    <w:rsid w:val="004E0001"/>
    <w:rsid w:val="0050359F"/>
    <w:rsid w:val="00787127"/>
    <w:rsid w:val="00886369"/>
    <w:rsid w:val="00AF332E"/>
    <w:rsid w:val="00B91D4C"/>
    <w:rsid w:val="00BC3928"/>
    <w:rsid w:val="00C35737"/>
    <w:rsid w:val="00C65B27"/>
    <w:rsid w:val="00D1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C4454F"/>
  <w15:chartTrackingRefBased/>
  <w15:docId w15:val="{2876EF80-66A2-4BBE-B3D5-C5F00FD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321"/>
      <w:outlineLvl w:val="0"/>
    </w:pPr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97AE3"/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97AE3"/>
  </w:style>
  <w:style w:type="paragraph" w:styleId="Textoindependiente">
    <w:name w:val="Body Text"/>
    <w:basedOn w:val="Normal"/>
    <w:link w:val="Textoindependiente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AE3"/>
    <w:rPr>
      <w:rFonts w:ascii="Calibri" w:eastAsiaTheme="minorEastAsia" w:hAnsi="Calibri" w:cs="Calibri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1041" w:hanging="360"/>
      <w:jc w:val="both"/>
    </w:pPr>
    <w:rPr>
      <w:rFonts w:ascii="Calibri" w:eastAsiaTheme="minorEastAsia" w:hAnsi="Calibri" w:cs="Calibri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E3"/>
  </w:style>
  <w:style w:type="paragraph" w:styleId="Piedepgina">
    <w:name w:val="footer"/>
    <w:basedOn w:val="Normal"/>
    <w:link w:val="Piedepgina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E3"/>
  </w:style>
  <w:style w:type="table" w:styleId="Tablaconcuadrcula">
    <w:name w:val="Table Grid"/>
    <w:basedOn w:val="Tablanormal"/>
    <w:uiPriority w:val="39"/>
    <w:rsid w:val="0002745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57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ficacionesbm@bilbomati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2075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nagore</dc:creator>
  <cp:keywords/>
  <dc:description/>
  <cp:lastModifiedBy>Cristina Yanowsky Flórez</cp:lastModifiedBy>
  <cp:revision>4</cp:revision>
  <dcterms:created xsi:type="dcterms:W3CDTF">2025-05-14T14:53:00Z</dcterms:created>
  <dcterms:modified xsi:type="dcterms:W3CDTF">2025-05-15T10:06:00Z</dcterms:modified>
</cp:coreProperties>
</file>