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0378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  <w:r w:rsidRPr="0002745C">
        <w:rPr>
          <w:rFonts w:ascii="Aptos Narrow" w:hAnsi="Aptos Narrow" w:cs="Arial"/>
          <w:b/>
          <w:bCs/>
          <w:kern w:val="0"/>
        </w:rPr>
        <w:t>PROCEDIMIENTO</w:t>
      </w:r>
      <w:r w:rsidRPr="0002745C">
        <w:rPr>
          <w:rFonts w:ascii="Aptos Narrow" w:hAnsi="Aptos Narrow" w:cs="Arial"/>
          <w:kern w:val="0"/>
        </w:rPr>
        <w:t xml:space="preserve">: </w:t>
      </w:r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>CONTRATACIÓN POR LA ASOCIACIÓN TEDER DEL 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</w:t>
      </w:r>
    </w:p>
    <w:p w14:paraId="69E30A07" w14:textId="77777777" w:rsidR="0002745C" w:rsidRPr="002E614E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Calibri"/>
          <w:b/>
          <w:color w:val="000000"/>
          <w:lang w:eastAsia="es-ES"/>
        </w:rPr>
      </w:pPr>
    </w:p>
    <w:p w14:paraId="46049CEA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lang w:eastAsia="es-ES"/>
        </w:rPr>
      </w:pPr>
      <w:bookmarkStart w:id="0" w:name="_Toc170912245"/>
      <w:r w:rsidRPr="0002745C">
        <w:rPr>
          <w:rFonts w:ascii="Aptos Narrow" w:eastAsia="Calibri" w:hAnsi="Aptos Narrow" w:cs="Calibri"/>
          <w:b/>
          <w:color w:val="000000"/>
          <w:lang w:eastAsia="es-ES"/>
        </w:rPr>
        <w:t>ANEXO III. DECLARACIÓN RESPONSABLE DE ADSCRIPCIÓN DE MEDIOS PERSONALES Y MATERIALES A LA EJECUCIÓN DEL CONTRATO (SOBRE A)</w:t>
      </w:r>
      <w:bookmarkEnd w:id="0"/>
    </w:p>
    <w:p w14:paraId="3A0485D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5A8F51DC" w14:textId="3AC7604B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Don</w:t>
      </w:r>
      <w:r w:rsidR="002E614E">
        <w:rPr>
          <w:rFonts w:ascii="Aptos Narrow" w:eastAsia="Calibri" w:hAnsi="Aptos Narrow" w:cs="Arial"/>
          <w:color w:val="000000"/>
          <w:lang w:eastAsia="es-ES"/>
        </w:rPr>
        <w:t xml:space="preserve"> Gabriel Fernández Sanz</w:t>
      </w:r>
      <w:r w:rsidRPr="0002745C">
        <w:rPr>
          <w:rFonts w:ascii="Aptos Narrow" w:eastAsia="Calibri" w:hAnsi="Aptos Narrow" w:cs="Arial"/>
          <w:color w:val="000000"/>
          <w:lang w:eastAsia="es-ES"/>
        </w:rPr>
        <w:t>, con DNI número</w:t>
      </w:r>
      <w:r w:rsidR="007652E0">
        <w:rPr>
          <w:rFonts w:ascii="Aptos Narrow" w:eastAsia="Calibri" w:hAnsi="Aptos Narrow" w:cs="Arial"/>
          <w:color w:val="000000"/>
          <w:lang w:eastAsia="es-ES"/>
        </w:rPr>
        <w:t xml:space="preserve"> 16054073G </w:t>
      </w:r>
      <w:r w:rsidRPr="0002745C">
        <w:rPr>
          <w:rFonts w:ascii="Aptos Narrow" w:eastAsia="Calibri" w:hAnsi="Aptos Narrow" w:cs="Arial"/>
          <w:color w:val="000000"/>
          <w:lang w:eastAsia="es-ES"/>
        </w:rPr>
        <w:t>en nombre y representación de la entidad</w:t>
      </w:r>
      <w:r w:rsidR="007652E0">
        <w:rPr>
          <w:rFonts w:ascii="Aptos Narrow" w:eastAsia="Calibri" w:hAnsi="Aptos Narrow" w:cs="Arial"/>
          <w:color w:val="000000"/>
          <w:lang w:eastAsia="es-ES"/>
        </w:rPr>
        <w:t xml:space="preserve"> BILBOMATICA, S.A.</w:t>
      </w:r>
      <w:r w:rsidRPr="0002745C">
        <w:rPr>
          <w:rFonts w:ascii="Aptos Narrow" w:eastAsia="Calibri" w:hAnsi="Aptos Narrow" w:cs="Arial"/>
          <w:color w:val="000000"/>
          <w:lang w:eastAsia="es-ES"/>
        </w:rPr>
        <w:t>, con N.I.F</w:t>
      </w:r>
      <w:r w:rsidR="007652E0">
        <w:rPr>
          <w:rFonts w:ascii="Aptos Narrow" w:eastAsia="Calibri" w:hAnsi="Aptos Narrow" w:cs="Arial"/>
          <w:color w:val="000000"/>
          <w:lang w:eastAsia="es-ES"/>
        </w:rPr>
        <w:t xml:space="preserve">. A48270227 </w:t>
      </w:r>
      <w:r w:rsidRPr="0002745C">
        <w:rPr>
          <w:rFonts w:ascii="Aptos Narrow" w:eastAsia="Calibri" w:hAnsi="Aptos Narrow" w:cs="Arial"/>
          <w:color w:val="000000"/>
          <w:lang w:eastAsia="es-ES"/>
        </w:rPr>
        <w:t>al objeto de participar en la contratación denominada “</w:t>
      </w:r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>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</w:t>
      </w:r>
    </w:p>
    <w:p w14:paraId="47444D1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color w:val="000000"/>
          <w:lang w:eastAsia="es-ES"/>
        </w:rPr>
      </w:pPr>
    </w:p>
    <w:p w14:paraId="224D97D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5C5CC1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t>DECLARA BAJO SU RESPONSABILIDAD</w:t>
      </w:r>
    </w:p>
    <w:p w14:paraId="6033A42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382CB06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333333"/>
          <w:shd w:val="clear" w:color="auto" w:fill="FFFFFF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Que se comprometen, de conformidad con lo dispuesto en el artículo 17, de la Ley Foral 2/2018</w:t>
      </w:r>
      <w:r w:rsidRPr="0002745C">
        <w:rPr>
          <w:rFonts w:ascii="Aptos Narrow" w:eastAsia="Calibri" w:hAnsi="Aptos Narrow" w:cs="Arial"/>
          <w:b/>
          <w:bCs/>
          <w:caps/>
          <w:color w:val="333333"/>
          <w:shd w:val="clear" w:color="auto" w:fill="FFFFFF"/>
          <w:lang w:eastAsia="es-ES"/>
        </w:rPr>
        <w:t xml:space="preserve">, </w:t>
      </w:r>
      <w:r w:rsidRPr="0002745C">
        <w:rPr>
          <w:rFonts w:ascii="Aptos Narrow" w:eastAsia="Calibri" w:hAnsi="Aptos Narrow" w:cs="Arial"/>
          <w:b/>
          <w:bCs/>
          <w:color w:val="333333"/>
          <w:shd w:val="clear" w:color="auto" w:fill="FFFFFF"/>
          <w:lang w:eastAsia="es-ES"/>
        </w:rPr>
        <w:t>de 13 de abril, de Contratos Públicos a:</w:t>
      </w:r>
    </w:p>
    <w:p w14:paraId="25772EA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845F6C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 la solvencia o medios que pone a disposición de la Asociación TEDER son los siguientes:</w:t>
      </w:r>
    </w:p>
    <w:p w14:paraId="5F1984B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71053872" w14:textId="77777777" w:rsidR="0002745C" w:rsidRPr="0002745C" w:rsidRDefault="0002745C" w:rsidP="0002745C">
      <w:pPr>
        <w:numPr>
          <w:ilvl w:val="0"/>
          <w:numId w:val="11"/>
        </w:num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34" w:hanging="425"/>
        <w:contextualSpacing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Relación de los principales contratos o servicios de características similares o iguales al objeto de este contrato, efectuados durante los tres últimos años (2022, 2023 y 2024): indicar el servicio o denominación del contrato de que se trate, importe, la fecha y el destinatario, público o privado, avalada por justificantes o certificados de dichos contratos o servicios expedidos por sus receptores. </w:t>
      </w:r>
    </w:p>
    <w:p w14:paraId="705350B1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222"/>
        <w:gridCol w:w="1843"/>
        <w:gridCol w:w="1630"/>
        <w:gridCol w:w="1571"/>
        <w:gridCol w:w="1523"/>
      </w:tblGrid>
      <w:tr w:rsidR="0002745C" w:rsidRPr="0002745C" w14:paraId="01DF5B34" w14:textId="77777777" w:rsidTr="00E92687">
        <w:trPr>
          <w:tblHeader/>
        </w:trPr>
        <w:tc>
          <w:tcPr>
            <w:tcW w:w="1222" w:type="dxa"/>
            <w:shd w:val="clear" w:color="auto" w:fill="F2F2F2" w:themeFill="background1" w:themeFillShade="F2"/>
          </w:tcPr>
          <w:p w14:paraId="474B8A11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AÑO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7FC7A14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Denominación del servicio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6BE42B2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Importe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2B595C5A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Fecha</w:t>
            </w:r>
          </w:p>
        </w:tc>
        <w:tc>
          <w:tcPr>
            <w:tcW w:w="1523" w:type="dxa"/>
            <w:shd w:val="clear" w:color="auto" w:fill="F2F2F2" w:themeFill="background1" w:themeFillShade="F2"/>
          </w:tcPr>
          <w:p w14:paraId="1E38BE0B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Destinatario: público o privado</w:t>
            </w:r>
          </w:p>
        </w:tc>
      </w:tr>
      <w:tr w:rsidR="0002745C" w:rsidRPr="0002745C" w14:paraId="6E4477B6" w14:textId="77777777" w:rsidTr="000B7B20">
        <w:tc>
          <w:tcPr>
            <w:tcW w:w="1222" w:type="dxa"/>
          </w:tcPr>
          <w:p w14:paraId="70BA9DFF" w14:textId="67EDF13F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2022</w:t>
            </w:r>
          </w:p>
        </w:tc>
        <w:tc>
          <w:tcPr>
            <w:tcW w:w="1843" w:type="dxa"/>
          </w:tcPr>
          <w:p w14:paraId="424C441D" w14:textId="496489A8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Desarrollo y Mantenimiento de Aplicaciones GIS bajo la modalidad de acuerdo de nivel de servicio (ANS).</w:t>
            </w:r>
          </w:p>
        </w:tc>
        <w:tc>
          <w:tcPr>
            <w:tcW w:w="1630" w:type="dxa"/>
          </w:tcPr>
          <w:p w14:paraId="02DDDC7D" w14:textId="035477CE" w:rsidR="0002745C" w:rsidRPr="0002745C" w:rsidRDefault="007652E0" w:rsidP="007652E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1.264.037,13</w:t>
            </w:r>
            <w:r w:rsidR="000B7B20">
              <w:rPr>
                <w:rFonts w:ascii="Aptos Narrow" w:eastAsia="Calibri" w:hAnsi="Aptos Narrow" w:cs="Arial"/>
                <w:b/>
                <w:bCs/>
                <w:color w:val="000000"/>
              </w:rPr>
              <w:t xml:space="preserve"> €</w:t>
            </w:r>
          </w:p>
        </w:tc>
        <w:tc>
          <w:tcPr>
            <w:tcW w:w="1571" w:type="dxa"/>
          </w:tcPr>
          <w:p w14:paraId="1460539F" w14:textId="64190FA4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01/01/2022-31/12/2022</w:t>
            </w:r>
          </w:p>
        </w:tc>
        <w:tc>
          <w:tcPr>
            <w:tcW w:w="1523" w:type="dxa"/>
          </w:tcPr>
          <w:p w14:paraId="4E74B4AF" w14:textId="7785CE6C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Público (</w:t>
            </w:r>
            <w:proofErr w:type="spellStart"/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Lantik</w:t>
            </w:r>
            <w:proofErr w:type="spellEnd"/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)</w:t>
            </w:r>
          </w:p>
        </w:tc>
      </w:tr>
      <w:tr w:rsidR="0002745C" w:rsidRPr="0002745C" w14:paraId="0D3260D4" w14:textId="77777777" w:rsidTr="000B7B20">
        <w:tc>
          <w:tcPr>
            <w:tcW w:w="1222" w:type="dxa"/>
          </w:tcPr>
          <w:p w14:paraId="53B16EA9" w14:textId="1BBF67ED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2023</w:t>
            </w:r>
          </w:p>
        </w:tc>
        <w:tc>
          <w:tcPr>
            <w:tcW w:w="1843" w:type="dxa"/>
          </w:tcPr>
          <w:p w14:paraId="58EF38D0" w14:textId="7FCEAAF7" w:rsidR="0002745C" w:rsidRPr="0002745C" w:rsidRDefault="00C2586D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Desarrollo y Mantenimiento de Aplicaciones GIS bajo la modalidad de acuerdo de nivel de servicio (ANS).</w:t>
            </w:r>
          </w:p>
        </w:tc>
        <w:tc>
          <w:tcPr>
            <w:tcW w:w="1630" w:type="dxa"/>
          </w:tcPr>
          <w:p w14:paraId="6C636138" w14:textId="354F2184" w:rsidR="0002745C" w:rsidRPr="0002745C" w:rsidRDefault="007652E0" w:rsidP="007652E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1.069.631,69</w:t>
            </w:r>
            <w:r w:rsidR="000B7B20">
              <w:rPr>
                <w:rFonts w:ascii="Aptos Narrow" w:eastAsia="Calibri" w:hAnsi="Aptos Narrow" w:cs="Arial"/>
                <w:b/>
                <w:bCs/>
                <w:color w:val="000000"/>
              </w:rPr>
              <w:t xml:space="preserve"> €</w:t>
            </w:r>
          </w:p>
        </w:tc>
        <w:tc>
          <w:tcPr>
            <w:tcW w:w="1571" w:type="dxa"/>
          </w:tcPr>
          <w:p w14:paraId="3B95A37F" w14:textId="1C544187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01/01/202</w:t>
            </w: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3</w:t>
            </w: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-31/12/202</w:t>
            </w: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3</w:t>
            </w:r>
          </w:p>
        </w:tc>
        <w:tc>
          <w:tcPr>
            <w:tcW w:w="1523" w:type="dxa"/>
          </w:tcPr>
          <w:p w14:paraId="76AE063E" w14:textId="23C2F055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Público (</w:t>
            </w:r>
            <w:proofErr w:type="spellStart"/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Lantik</w:t>
            </w:r>
            <w:proofErr w:type="spellEnd"/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)</w:t>
            </w:r>
          </w:p>
        </w:tc>
      </w:tr>
      <w:tr w:rsidR="0002745C" w:rsidRPr="0002745C" w14:paraId="099E8124" w14:textId="77777777" w:rsidTr="000B7B20">
        <w:tc>
          <w:tcPr>
            <w:tcW w:w="1222" w:type="dxa"/>
          </w:tcPr>
          <w:p w14:paraId="60B9527F" w14:textId="54E8C67D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lastRenderedPageBreak/>
              <w:t>2024</w:t>
            </w:r>
          </w:p>
        </w:tc>
        <w:tc>
          <w:tcPr>
            <w:tcW w:w="1843" w:type="dxa"/>
          </w:tcPr>
          <w:p w14:paraId="409EB5CB" w14:textId="3681B274" w:rsidR="0002745C" w:rsidRPr="0002745C" w:rsidRDefault="00C2586D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Desarrollo y Mantenimiento de Aplicaciones GIS bajo la modalidad de acuerdo de nivel de servicio (ANS).</w:t>
            </w:r>
          </w:p>
        </w:tc>
        <w:tc>
          <w:tcPr>
            <w:tcW w:w="1630" w:type="dxa"/>
          </w:tcPr>
          <w:p w14:paraId="23B0F68D" w14:textId="33BA1FCC" w:rsidR="0002745C" w:rsidRPr="0002745C" w:rsidRDefault="007652E0" w:rsidP="007652E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7652E0">
              <w:rPr>
                <w:rFonts w:ascii="Aptos Narrow" w:eastAsia="Calibri" w:hAnsi="Aptos Narrow" w:cs="Arial"/>
                <w:b/>
                <w:bCs/>
                <w:color w:val="000000"/>
              </w:rPr>
              <w:t>448.502,38</w:t>
            </w:r>
            <w:r w:rsidR="000B7B20">
              <w:rPr>
                <w:rFonts w:ascii="Aptos Narrow" w:eastAsia="Calibri" w:hAnsi="Aptos Narrow" w:cs="Arial"/>
                <w:b/>
                <w:bCs/>
                <w:color w:val="000000"/>
              </w:rPr>
              <w:t xml:space="preserve"> €</w:t>
            </w:r>
          </w:p>
        </w:tc>
        <w:tc>
          <w:tcPr>
            <w:tcW w:w="1571" w:type="dxa"/>
          </w:tcPr>
          <w:p w14:paraId="56EF55D7" w14:textId="16509537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01/01/202</w:t>
            </w: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4</w:t>
            </w: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-31/12/202</w:t>
            </w: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4</w:t>
            </w:r>
          </w:p>
        </w:tc>
        <w:tc>
          <w:tcPr>
            <w:tcW w:w="1523" w:type="dxa"/>
          </w:tcPr>
          <w:p w14:paraId="36BCF20C" w14:textId="088ABC15" w:rsidR="0002745C" w:rsidRPr="0002745C" w:rsidRDefault="007652E0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Público (Lantik)</w:t>
            </w:r>
          </w:p>
        </w:tc>
      </w:tr>
      <w:tr w:rsidR="000B7B20" w:rsidRPr="0002745C" w14:paraId="4AF31838" w14:textId="77777777" w:rsidTr="000B7B20">
        <w:tc>
          <w:tcPr>
            <w:tcW w:w="1222" w:type="dxa"/>
          </w:tcPr>
          <w:p w14:paraId="20CD0032" w14:textId="72F5D7ED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2022</w:t>
            </w:r>
          </w:p>
        </w:tc>
        <w:tc>
          <w:tcPr>
            <w:tcW w:w="1843" w:type="dxa"/>
          </w:tcPr>
          <w:p w14:paraId="738D47E4" w14:textId="21071E26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B7B20">
              <w:rPr>
                <w:rFonts w:ascii="Aptos Narrow" w:eastAsia="Calibri" w:hAnsi="Aptos Narrow" w:cs="Arial"/>
                <w:b/>
                <w:bCs/>
                <w:color w:val="000000"/>
              </w:rPr>
              <w:t>Contratación del Servicio de Mantenimiento de las aplicaciones de la Dirección Técnica Sectorial y Profesional en modalidad ANS, expediente EJIE-087-2021 LOTE 2 – Área de Turismo y Comercio.</w:t>
            </w:r>
          </w:p>
        </w:tc>
        <w:tc>
          <w:tcPr>
            <w:tcW w:w="1630" w:type="dxa"/>
          </w:tcPr>
          <w:p w14:paraId="0E0BEBD8" w14:textId="5B756543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B7B20">
              <w:rPr>
                <w:rFonts w:ascii="Aptos Narrow" w:eastAsia="Calibri" w:hAnsi="Aptos Narrow" w:cs="Arial"/>
                <w:b/>
                <w:bCs/>
                <w:color w:val="000000"/>
              </w:rPr>
              <w:t>323.059,01 €</w:t>
            </w:r>
          </w:p>
        </w:tc>
        <w:tc>
          <w:tcPr>
            <w:tcW w:w="1571" w:type="dxa"/>
          </w:tcPr>
          <w:p w14:paraId="7A63743D" w14:textId="14A93D90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01/01/2022-31/12/2022</w:t>
            </w:r>
          </w:p>
        </w:tc>
        <w:tc>
          <w:tcPr>
            <w:tcW w:w="1523" w:type="dxa"/>
          </w:tcPr>
          <w:p w14:paraId="546F3FE5" w14:textId="35F20EF3" w:rsidR="000B7B20" w:rsidRPr="0002745C" w:rsidRDefault="00E92687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Público (EJIE)</w:t>
            </w:r>
          </w:p>
        </w:tc>
      </w:tr>
      <w:tr w:rsidR="000B7B20" w:rsidRPr="0002745C" w14:paraId="09704C3D" w14:textId="77777777" w:rsidTr="000B7B20">
        <w:tc>
          <w:tcPr>
            <w:tcW w:w="1222" w:type="dxa"/>
          </w:tcPr>
          <w:p w14:paraId="6AF508FD" w14:textId="6953CC87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2023</w:t>
            </w:r>
          </w:p>
        </w:tc>
        <w:tc>
          <w:tcPr>
            <w:tcW w:w="1843" w:type="dxa"/>
          </w:tcPr>
          <w:p w14:paraId="5566BA49" w14:textId="3B139896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B7B20">
              <w:rPr>
                <w:rFonts w:ascii="Aptos Narrow" w:eastAsia="Calibri" w:hAnsi="Aptos Narrow" w:cs="Arial"/>
                <w:b/>
                <w:bCs/>
                <w:color w:val="000000"/>
              </w:rPr>
              <w:t>Contratación del Servicio de Mantenimiento de las aplicaciones de la Dirección Técnica Sectorial y Profesional en modalidad ANS, expediente EJIE-087-2021 LOTE 2 – Área de Turismo y Comercio.</w:t>
            </w:r>
          </w:p>
        </w:tc>
        <w:tc>
          <w:tcPr>
            <w:tcW w:w="1630" w:type="dxa"/>
          </w:tcPr>
          <w:p w14:paraId="61055D68" w14:textId="79F93BAC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B7B20">
              <w:rPr>
                <w:rFonts w:ascii="Aptos Narrow" w:eastAsia="Calibri" w:hAnsi="Aptos Narrow" w:cs="Arial"/>
                <w:b/>
                <w:bCs/>
                <w:color w:val="000000"/>
              </w:rPr>
              <w:t>323.058,82 €</w:t>
            </w:r>
          </w:p>
        </w:tc>
        <w:tc>
          <w:tcPr>
            <w:tcW w:w="1571" w:type="dxa"/>
          </w:tcPr>
          <w:p w14:paraId="25DD4549" w14:textId="3BAB86D1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01/01/2023-31/12/2023</w:t>
            </w:r>
          </w:p>
        </w:tc>
        <w:tc>
          <w:tcPr>
            <w:tcW w:w="1523" w:type="dxa"/>
          </w:tcPr>
          <w:p w14:paraId="34B7C794" w14:textId="49DFEBB2" w:rsidR="000B7B20" w:rsidRPr="0002745C" w:rsidRDefault="00E92687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Público (EJIE)</w:t>
            </w:r>
          </w:p>
        </w:tc>
      </w:tr>
      <w:tr w:rsidR="000B7B20" w:rsidRPr="0002745C" w14:paraId="6B8C3C53" w14:textId="77777777" w:rsidTr="000B7B20">
        <w:tc>
          <w:tcPr>
            <w:tcW w:w="1222" w:type="dxa"/>
          </w:tcPr>
          <w:p w14:paraId="342980F9" w14:textId="6CB51A06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2024</w:t>
            </w:r>
          </w:p>
        </w:tc>
        <w:tc>
          <w:tcPr>
            <w:tcW w:w="1843" w:type="dxa"/>
          </w:tcPr>
          <w:p w14:paraId="3745AEDE" w14:textId="7BFF1B91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B7B20">
              <w:rPr>
                <w:rFonts w:ascii="Aptos Narrow" w:eastAsia="Calibri" w:hAnsi="Aptos Narrow" w:cs="Arial"/>
                <w:b/>
                <w:bCs/>
                <w:color w:val="000000"/>
              </w:rPr>
              <w:t>Contratación del Servicio de Mantenimiento de las aplicaciones de la Dirección Técnica Sectorial y Profesional en modalidad ANS, expediente EJIE-087-2021 LOTE 2 – Área de Turismo y Comercio.</w:t>
            </w:r>
          </w:p>
        </w:tc>
        <w:tc>
          <w:tcPr>
            <w:tcW w:w="1630" w:type="dxa"/>
          </w:tcPr>
          <w:p w14:paraId="07524F65" w14:textId="56A7E0E2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B7B20">
              <w:rPr>
                <w:rFonts w:ascii="Aptos Narrow" w:eastAsia="Calibri" w:hAnsi="Aptos Narrow" w:cs="Arial"/>
                <w:b/>
                <w:bCs/>
                <w:color w:val="000000"/>
              </w:rPr>
              <w:t>328.082,15 €</w:t>
            </w:r>
          </w:p>
        </w:tc>
        <w:tc>
          <w:tcPr>
            <w:tcW w:w="1571" w:type="dxa"/>
          </w:tcPr>
          <w:p w14:paraId="7BBC99DF" w14:textId="3E5FE109" w:rsidR="000B7B20" w:rsidRPr="0002745C" w:rsidRDefault="000B7B20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01/01/2024-31/12/2024</w:t>
            </w:r>
          </w:p>
        </w:tc>
        <w:tc>
          <w:tcPr>
            <w:tcW w:w="1523" w:type="dxa"/>
          </w:tcPr>
          <w:p w14:paraId="0D680B75" w14:textId="2E61EB33" w:rsidR="000B7B20" w:rsidRPr="0002745C" w:rsidRDefault="00E92687" w:rsidP="000B7B20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>
              <w:rPr>
                <w:rFonts w:ascii="Aptos Narrow" w:eastAsia="Calibri" w:hAnsi="Aptos Narrow" w:cs="Arial"/>
                <w:b/>
                <w:bCs/>
                <w:color w:val="000000"/>
              </w:rPr>
              <w:t>Público (EJIE)</w:t>
            </w:r>
          </w:p>
        </w:tc>
      </w:tr>
    </w:tbl>
    <w:p w14:paraId="40FBD09A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177E698E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lastRenderedPageBreak/>
        <w:t>Aportar justificantes o certificados de dichos contratos o servicios expedidos por sus receptores.</w:t>
      </w:r>
    </w:p>
    <w:p w14:paraId="67A43C9B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04486BDA" w14:textId="77777777" w:rsidR="00E92687" w:rsidRDefault="00E92687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1FA63ED" w14:textId="77777777" w:rsidR="00E92687" w:rsidRDefault="00E92687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2B31B92B" w14:textId="695E4E9A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 los profesionales encargados directamente de la ejecución del contrato tendrán la titulación y la experiencia requerida en el apartado 5.2 del Pliego de Prescripciones Técnicas.</w:t>
      </w:r>
    </w:p>
    <w:p w14:paraId="2D99735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72EAF72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durante toda la ejecución del contrato dispondrán efectivamente de la solvencia o medios que se describen en este compromiso. </w:t>
      </w:r>
    </w:p>
    <w:p w14:paraId="3B1924A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4EA01A9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Que, para la correcta prestación del servicio esta empresa dotará al personal destinado al mismo de las herramientas necesarias (hardware y software) para su correcta ejecución, siendo el coste de estas herramientas a cargo de la empresa adjudicataria.</w:t>
      </w:r>
    </w:p>
    <w:p w14:paraId="6F282F3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73A7A16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 la disposición efectiva de la solvencia o medios descritos no está sometida a condición o limitación alguna.</w:t>
      </w:r>
    </w:p>
    <w:p w14:paraId="00E7B93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54B97A3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A92D79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E659CF7" w14:textId="66A34273" w:rsidR="0002745C" w:rsidRDefault="00CF3989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>
        <w:rPr>
          <w:rFonts w:ascii="Aptos Narrow" w:eastAsia="Calibri" w:hAnsi="Aptos Narrow" w:cs="Arial"/>
          <w:color w:val="000000"/>
          <w:lang w:eastAsia="es-ES"/>
        </w:rPr>
        <w:t>En Bilbao, a 15 de mayo de 2025</w:t>
      </w:r>
    </w:p>
    <w:p w14:paraId="4B4F0D15" w14:textId="77777777" w:rsidR="00CF3989" w:rsidRDefault="00CF3989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01F993AE" w14:textId="77777777" w:rsidR="00CF3989" w:rsidRDefault="00CF3989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374A3186" w14:textId="77777777" w:rsidR="00CF3989" w:rsidRDefault="00CF3989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665DFAD" w14:textId="77777777" w:rsidR="00CF3989" w:rsidRDefault="00CF3989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5F9D630A" w14:textId="2A46BE7C" w:rsidR="00CF3989" w:rsidRDefault="00CF3989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>
        <w:rPr>
          <w:rFonts w:ascii="Aptos Narrow" w:eastAsia="Calibri" w:hAnsi="Aptos Narrow" w:cs="Arial"/>
          <w:color w:val="000000"/>
          <w:lang w:eastAsia="es-ES"/>
        </w:rPr>
        <w:t>Firmado: Gabriel Fernández Sanz</w:t>
      </w:r>
    </w:p>
    <w:p w14:paraId="49218F4A" w14:textId="679CADCA" w:rsidR="00CF3989" w:rsidRPr="00CF3989" w:rsidRDefault="00CF3989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i/>
          <w:iCs/>
          <w:color w:val="000000"/>
          <w:lang w:eastAsia="es-ES"/>
        </w:rPr>
      </w:pPr>
      <w:r w:rsidRPr="00CF3989">
        <w:rPr>
          <w:rFonts w:ascii="Aptos Narrow" w:eastAsia="Calibri" w:hAnsi="Aptos Narrow" w:cs="Arial"/>
          <w:i/>
          <w:iCs/>
          <w:color w:val="000000"/>
          <w:lang w:eastAsia="es-ES"/>
        </w:rPr>
        <w:t xml:space="preserve">Director General / Apoderado </w:t>
      </w:r>
      <w:proofErr w:type="spellStart"/>
      <w:r w:rsidRPr="00CF3989">
        <w:rPr>
          <w:rFonts w:ascii="Aptos Narrow" w:eastAsia="Calibri" w:hAnsi="Aptos Narrow" w:cs="Arial"/>
          <w:i/>
          <w:iCs/>
          <w:color w:val="000000"/>
          <w:lang w:eastAsia="es-ES"/>
        </w:rPr>
        <w:t>Bilbomatica</w:t>
      </w:r>
      <w:proofErr w:type="spellEnd"/>
      <w:r w:rsidRPr="00CF3989">
        <w:rPr>
          <w:rFonts w:ascii="Aptos Narrow" w:eastAsia="Calibri" w:hAnsi="Aptos Narrow" w:cs="Arial"/>
          <w:i/>
          <w:iCs/>
          <w:color w:val="000000"/>
          <w:lang w:eastAsia="es-ES"/>
        </w:rPr>
        <w:t>, S.A.</w:t>
      </w:r>
    </w:p>
    <w:p w14:paraId="3ECE4AF9" w14:textId="495F4592" w:rsidR="00F51D4A" w:rsidRDefault="00F51D4A">
      <w:pPr>
        <w:rPr>
          <w:rFonts w:ascii="Aptos Narrow" w:hAnsi="Aptos Narrow" w:cs="Arial"/>
          <w:lang w:val="es-ES_tradnl"/>
        </w:rPr>
      </w:pPr>
    </w:p>
    <w:p w14:paraId="0A531A45" w14:textId="77777777" w:rsidR="0050359F" w:rsidRDefault="0050359F"/>
    <w:sectPr w:rsidR="0050359F" w:rsidSect="00297AE3">
      <w:headerReference w:type="default" r:id="rId7"/>
      <w:pgSz w:w="11910" w:h="16840"/>
      <w:pgMar w:top="1417" w:right="1701" w:bottom="1417" w:left="1701" w:header="91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B1F" w14:textId="77777777" w:rsidR="00297AE3" w:rsidRDefault="00297AE3" w:rsidP="00297AE3">
      <w:pPr>
        <w:spacing w:after="0" w:line="240" w:lineRule="auto"/>
      </w:pPr>
      <w:r>
        <w:separator/>
      </w:r>
    </w:p>
  </w:endnote>
  <w:endnote w:type="continuationSeparator" w:id="0">
    <w:p w14:paraId="63024197" w14:textId="77777777" w:rsidR="00297AE3" w:rsidRDefault="00297AE3" w:rsidP="0029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06DB" w14:textId="77777777" w:rsidR="00297AE3" w:rsidRDefault="00297AE3" w:rsidP="00297AE3">
      <w:pPr>
        <w:spacing w:after="0" w:line="240" w:lineRule="auto"/>
      </w:pPr>
      <w:r>
        <w:separator/>
      </w:r>
    </w:p>
  </w:footnote>
  <w:footnote w:type="continuationSeparator" w:id="0">
    <w:p w14:paraId="6144DD8F" w14:textId="77777777" w:rsidR="00297AE3" w:rsidRDefault="00297AE3" w:rsidP="0029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DA9" w14:textId="34C7F5D9" w:rsidR="00297AE3" w:rsidRDefault="00297AE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4FE6EF" wp14:editId="762F6510">
          <wp:simplePos x="0" y="0"/>
          <wp:positionH relativeFrom="page">
            <wp:align>center</wp:align>
          </wp:positionH>
          <wp:positionV relativeFrom="paragraph">
            <wp:posOffset>-181610</wp:posOffset>
          </wp:positionV>
          <wp:extent cx="6249035" cy="5854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D19AEA" w14:textId="68134DDE" w:rsidR="00297AE3" w:rsidRDefault="00297AE3">
    <w:pPr>
      <w:pStyle w:val="Encabezado"/>
    </w:pPr>
  </w:p>
  <w:p w14:paraId="72502910" w14:textId="47A8E0E1" w:rsidR="00297AE3" w:rsidRDefault="00297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8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41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041" w:hanging="360"/>
      </w:pPr>
      <w:rPr>
        <w:rFonts w:ascii="Californian FB" w:hAnsi="Californian FB" w:cs="Californian FB"/>
        <w:b w:val="0"/>
        <w:bCs w:val="0"/>
        <w:color w:val="0E0E0E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041" w:hanging="281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281"/>
      </w:pPr>
    </w:lvl>
    <w:lvl w:ilvl="2">
      <w:numFmt w:val="bullet"/>
      <w:lvlText w:val="•"/>
      <w:lvlJc w:val="left"/>
      <w:pPr>
        <w:ind w:left="2705" w:hanging="281"/>
      </w:pPr>
    </w:lvl>
    <w:lvl w:ilvl="3">
      <w:numFmt w:val="bullet"/>
      <w:lvlText w:val="•"/>
      <w:lvlJc w:val="left"/>
      <w:pPr>
        <w:ind w:left="3537" w:hanging="281"/>
      </w:pPr>
    </w:lvl>
    <w:lvl w:ilvl="4">
      <w:numFmt w:val="bullet"/>
      <w:lvlText w:val="•"/>
      <w:lvlJc w:val="left"/>
      <w:pPr>
        <w:ind w:left="4370" w:hanging="281"/>
      </w:pPr>
    </w:lvl>
    <w:lvl w:ilvl="5">
      <w:numFmt w:val="bullet"/>
      <w:lvlText w:val="•"/>
      <w:lvlJc w:val="left"/>
      <w:pPr>
        <w:ind w:left="5203" w:hanging="281"/>
      </w:pPr>
    </w:lvl>
    <w:lvl w:ilvl="6">
      <w:numFmt w:val="bullet"/>
      <w:lvlText w:val="•"/>
      <w:lvlJc w:val="left"/>
      <w:pPr>
        <w:ind w:left="6035" w:hanging="281"/>
      </w:pPr>
    </w:lvl>
    <w:lvl w:ilvl="7">
      <w:numFmt w:val="bullet"/>
      <w:lvlText w:val="•"/>
      <w:lvlJc w:val="left"/>
      <w:pPr>
        <w:ind w:left="6868" w:hanging="281"/>
      </w:pPr>
    </w:lvl>
    <w:lvl w:ilvl="8">
      <w:numFmt w:val="bullet"/>
      <w:lvlText w:val="•"/>
      <w:lvlJc w:val="left"/>
      <w:pPr>
        <w:ind w:left="7701" w:hanging="281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034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681" w:hanging="360"/>
      </w:pPr>
      <w:rPr>
        <w:rFonts w:ascii="Calibri" w:hAnsi="Calibri" w:cs="Calibri"/>
        <w:b/>
        <w:bCs/>
        <w:w w:val="98"/>
        <w:sz w:val="22"/>
        <w:szCs w:val="22"/>
      </w:rPr>
    </w:lvl>
    <w:lvl w:ilvl="1">
      <w:numFmt w:val="bullet"/>
      <w:lvlText w:val="•"/>
      <w:lvlJc w:val="left"/>
      <w:pPr>
        <w:ind w:left="1548" w:hanging="360"/>
      </w:pPr>
    </w:lvl>
    <w:lvl w:ilvl="2">
      <w:numFmt w:val="bullet"/>
      <w:lvlText w:val="•"/>
      <w:lvlJc w:val="left"/>
      <w:pPr>
        <w:ind w:left="2417" w:hanging="360"/>
      </w:p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29" w:hanging="360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463" w:hanging="108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41" w:hanging="108"/>
      </w:pPr>
    </w:lvl>
    <w:lvl w:ilvl="3">
      <w:numFmt w:val="bullet"/>
      <w:lvlText w:val="•"/>
      <w:lvlJc w:val="left"/>
      <w:pPr>
        <w:ind w:left="3131" w:hanging="108"/>
      </w:pPr>
    </w:lvl>
    <w:lvl w:ilvl="4">
      <w:numFmt w:val="bullet"/>
      <w:lvlText w:val="•"/>
      <w:lvlJc w:val="left"/>
      <w:pPr>
        <w:ind w:left="4022" w:hanging="108"/>
      </w:pPr>
    </w:lvl>
    <w:lvl w:ilvl="5">
      <w:numFmt w:val="bullet"/>
      <w:lvlText w:val="•"/>
      <w:lvlJc w:val="left"/>
      <w:pPr>
        <w:ind w:left="4913" w:hanging="108"/>
      </w:pPr>
    </w:lvl>
    <w:lvl w:ilvl="6">
      <w:numFmt w:val="bullet"/>
      <w:lvlText w:val="•"/>
      <w:lvlJc w:val="left"/>
      <w:pPr>
        <w:ind w:left="5803" w:hanging="108"/>
      </w:pPr>
    </w:lvl>
    <w:lvl w:ilvl="7">
      <w:numFmt w:val="bullet"/>
      <w:lvlText w:val="•"/>
      <w:lvlJc w:val="left"/>
      <w:pPr>
        <w:ind w:left="6694" w:hanging="108"/>
      </w:pPr>
    </w:lvl>
    <w:lvl w:ilvl="8">
      <w:numFmt w:val="bullet"/>
      <w:lvlText w:val="•"/>
      <w:lvlJc w:val="left"/>
      <w:pPr>
        <w:ind w:left="7585" w:hanging="108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04" w:hanging="212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-"/>
      <w:lvlJc w:val="left"/>
      <w:pPr>
        <w:ind w:left="1029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1947" w:hanging="360"/>
      </w:pPr>
    </w:lvl>
    <w:lvl w:ilvl="3">
      <w:numFmt w:val="bullet"/>
      <w:lvlText w:val="•"/>
      <w:lvlJc w:val="left"/>
      <w:pPr>
        <w:ind w:left="2874" w:hanging="360"/>
      </w:pPr>
    </w:lvl>
    <w:lvl w:ilvl="4">
      <w:numFmt w:val="bullet"/>
      <w:lvlText w:val="•"/>
      <w:lvlJc w:val="left"/>
      <w:pPr>
        <w:ind w:left="3802" w:hanging="360"/>
      </w:pPr>
    </w:lvl>
    <w:lvl w:ilvl="5">
      <w:numFmt w:val="bullet"/>
      <w:lvlText w:val="•"/>
      <w:lvlJc w:val="left"/>
      <w:pPr>
        <w:ind w:left="4729" w:hanging="360"/>
      </w:pPr>
    </w:lvl>
    <w:lvl w:ilvl="6">
      <w:numFmt w:val="bullet"/>
      <w:lvlText w:val="•"/>
      <w:lvlJc w:val="left"/>
      <w:pPr>
        <w:ind w:left="5656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11" w:hanging="360"/>
      </w:pPr>
    </w:lvl>
  </w:abstractNum>
  <w:abstractNum w:abstractNumId="8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21" w:hanging="12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4" w:hanging="126"/>
      </w:pPr>
    </w:lvl>
    <w:lvl w:ilvl="2">
      <w:numFmt w:val="bullet"/>
      <w:lvlText w:val="•"/>
      <w:lvlJc w:val="left"/>
      <w:pPr>
        <w:ind w:left="2129" w:hanging="126"/>
      </w:pPr>
    </w:lvl>
    <w:lvl w:ilvl="3">
      <w:numFmt w:val="bullet"/>
      <w:lvlText w:val="•"/>
      <w:lvlJc w:val="left"/>
      <w:pPr>
        <w:ind w:left="3033" w:hanging="126"/>
      </w:pPr>
    </w:lvl>
    <w:lvl w:ilvl="4">
      <w:numFmt w:val="bullet"/>
      <w:lvlText w:val="•"/>
      <w:lvlJc w:val="left"/>
      <w:pPr>
        <w:ind w:left="3938" w:hanging="126"/>
      </w:pPr>
    </w:lvl>
    <w:lvl w:ilvl="5">
      <w:numFmt w:val="bullet"/>
      <w:lvlText w:val="•"/>
      <w:lvlJc w:val="left"/>
      <w:pPr>
        <w:ind w:left="4843" w:hanging="126"/>
      </w:pPr>
    </w:lvl>
    <w:lvl w:ilvl="6">
      <w:numFmt w:val="bullet"/>
      <w:lvlText w:val="•"/>
      <w:lvlJc w:val="left"/>
      <w:pPr>
        <w:ind w:left="5747" w:hanging="126"/>
      </w:pPr>
    </w:lvl>
    <w:lvl w:ilvl="7">
      <w:numFmt w:val="bullet"/>
      <w:lvlText w:val="•"/>
      <w:lvlJc w:val="left"/>
      <w:pPr>
        <w:ind w:left="6652" w:hanging="126"/>
      </w:pPr>
    </w:lvl>
    <w:lvl w:ilvl="8">
      <w:numFmt w:val="bullet"/>
      <w:lvlText w:val="•"/>
      <w:lvlJc w:val="left"/>
      <w:pPr>
        <w:ind w:left="7557" w:hanging="126"/>
      </w:pPr>
    </w:lvl>
  </w:abstractNum>
  <w:abstractNum w:abstractNumId="9" w15:restartNumberingAfterBreak="0">
    <w:nsid w:val="12A61C4A"/>
    <w:multiLevelType w:val="hybridMultilevel"/>
    <w:tmpl w:val="39DCF8C2"/>
    <w:lvl w:ilvl="0" w:tplc="63460EFC">
      <w:start w:val="9"/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1E4F65E1"/>
    <w:multiLevelType w:val="hybridMultilevel"/>
    <w:tmpl w:val="AF0616BC"/>
    <w:lvl w:ilvl="0" w:tplc="4EB278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737B"/>
    <w:multiLevelType w:val="hybridMultilevel"/>
    <w:tmpl w:val="95EE544E"/>
    <w:lvl w:ilvl="0" w:tplc="3BA20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933"/>
    <w:multiLevelType w:val="hybridMultilevel"/>
    <w:tmpl w:val="4808E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2960A8"/>
    <w:multiLevelType w:val="hybridMultilevel"/>
    <w:tmpl w:val="C3AC2326"/>
    <w:lvl w:ilvl="0" w:tplc="C5DAF68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266AEC"/>
    <w:multiLevelType w:val="hybridMultilevel"/>
    <w:tmpl w:val="3030EE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09293">
    <w:abstractNumId w:val="8"/>
  </w:num>
  <w:num w:numId="2" w16cid:durableId="1875459571">
    <w:abstractNumId w:val="7"/>
  </w:num>
  <w:num w:numId="3" w16cid:durableId="612785522">
    <w:abstractNumId w:val="6"/>
  </w:num>
  <w:num w:numId="4" w16cid:durableId="1257252299">
    <w:abstractNumId w:val="5"/>
  </w:num>
  <w:num w:numId="5" w16cid:durableId="967667391">
    <w:abstractNumId w:val="4"/>
  </w:num>
  <w:num w:numId="6" w16cid:durableId="1169953093">
    <w:abstractNumId w:val="3"/>
  </w:num>
  <w:num w:numId="7" w16cid:durableId="1209680674">
    <w:abstractNumId w:val="2"/>
  </w:num>
  <w:num w:numId="8" w16cid:durableId="1948345682">
    <w:abstractNumId w:val="1"/>
  </w:num>
  <w:num w:numId="9" w16cid:durableId="1575551721">
    <w:abstractNumId w:val="9"/>
  </w:num>
  <w:num w:numId="10" w16cid:durableId="1838491942">
    <w:abstractNumId w:val="10"/>
  </w:num>
  <w:num w:numId="11" w16cid:durableId="1262640880">
    <w:abstractNumId w:val="11"/>
  </w:num>
  <w:num w:numId="12" w16cid:durableId="1900045682">
    <w:abstractNumId w:val="0"/>
  </w:num>
  <w:num w:numId="13" w16cid:durableId="1318609711">
    <w:abstractNumId w:val="13"/>
  </w:num>
  <w:num w:numId="14" w16cid:durableId="928847500">
    <w:abstractNumId w:val="14"/>
  </w:num>
  <w:num w:numId="15" w16cid:durableId="874731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E3"/>
    <w:rsid w:val="0002745C"/>
    <w:rsid w:val="000B7B20"/>
    <w:rsid w:val="002740B6"/>
    <w:rsid w:val="00297AE3"/>
    <w:rsid w:val="002E614E"/>
    <w:rsid w:val="003B46ED"/>
    <w:rsid w:val="004515F1"/>
    <w:rsid w:val="0050359F"/>
    <w:rsid w:val="007652E0"/>
    <w:rsid w:val="00787127"/>
    <w:rsid w:val="00AF332E"/>
    <w:rsid w:val="00B91D4C"/>
    <w:rsid w:val="00BC3928"/>
    <w:rsid w:val="00BF5439"/>
    <w:rsid w:val="00C2586D"/>
    <w:rsid w:val="00C65B27"/>
    <w:rsid w:val="00CF3989"/>
    <w:rsid w:val="00D10884"/>
    <w:rsid w:val="00E92687"/>
    <w:rsid w:val="00F5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C4454F"/>
  <w15:chartTrackingRefBased/>
  <w15:docId w15:val="{2876EF80-66A2-4BBE-B3D5-C5F00FD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321"/>
      <w:outlineLvl w:val="0"/>
    </w:pPr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97AE3"/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297AE3"/>
  </w:style>
  <w:style w:type="paragraph" w:styleId="Textoindependiente">
    <w:name w:val="Body Text"/>
    <w:basedOn w:val="Normal"/>
    <w:link w:val="Textoindependiente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7AE3"/>
    <w:rPr>
      <w:rFonts w:ascii="Calibri" w:eastAsiaTheme="minorEastAsia" w:hAnsi="Calibri" w:cs="Calibri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1041" w:hanging="360"/>
      <w:jc w:val="both"/>
    </w:pPr>
    <w:rPr>
      <w:rFonts w:ascii="Calibri" w:eastAsiaTheme="minorEastAsia" w:hAnsi="Calibri" w:cs="Calibri"/>
      <w:kern w:val="0"/>
      <w:sz w:val="24"/>
      <w:szCs w:val="24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E3"/>
  </w:style>
  <w:style w:type="paragraph" w:styleId="Piedepgina">
    <w:name w:val="footer"/>
    <w:basedOn w:val="Normal"/>
    <w:link w:val="Piedepgina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E3"/>
  </w:style>
  <w:style w:type="table" w:styleId="Tablaconcuadrcula">
    <w:name w:val="Table Grid"/>
    <w:basedOn w:val="Tablanormal"/>
    <w:uiPriority w:val="39"/>
    <w:rsid w:val="0002745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nagore</dc:creator>
  <cp:keywords/>
  <dc:description/>
  <cp:lastModifiedBy>Cristina Yanowsky Flórez</cp:lastModifiedBy>
  <cp:revision>7</cp:revision>
  <dcterms:created xsi:type="dcterms:W3CDTF">2025-05-14T14:53:00Z</dcterms:created>
  <dcterms:modified xsi:type="dcterms:W3CDTF">2025-05-15T10:00:00Z</dcterms:modified>
</cp:coreProperties>
</file>